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8A04" w14:textId="0A18D953" w:rsidR="00680C01" w:rsidRDefault="00790057" w:rsidP="00680C01">
      <w:r>
        <w:t xml:space="preserve">Sibelius </w:t>
      </w:r>
      <w:r w:rsidR="00680C01">
        <w:t>Violin concerto in D minor, Op. 47</w:t>
      </w:r>
    </w:p>
    <w:p w14:paraId="02A693F3" w14:textId="77777777" w:rsidR="00680C01" w:rsidRDefault="00680C01" w:rsidP="00680C01">
      <w:r>
        <w:t>1. Allegro moderato</w:t>
      </w:r>
    </w:p>
    <w:p w14:paraId="4B86723F" w14:textId="77777777" w:rsidR="00680C01" w:rsidRDefault="00680C01" w:rsidP="00680C01">
      <w:r>
        <w:t>2. Adagio di molto</w:t>
      </w:r>
    </w:p>
    <w:p w14:paraId="7FD9B1BA" w14:textId="77777777" w:rsidR="00680C01" w:rsidRDefault="00680C01" w:rsidP="00680C01">
      <w:r>
        <w:t>3. Allegro, ma non tanto</w:t>
      </w:r>
    </w:p>
    <w:p w14:paraId="5D84316B" w14:textId="77777777" w:rsidR="00680C01" w:rsidRDefault="00680C01" w:rsidP="00680C01"/>
    <w:p w14:paraId="3368B1A9" w14:textId="77777777" w:rsidR="00680C01" w:rsidRDefault="00680C01" w:rsidP="00680C01">
      <w:r>
        <w:t>Jean Sibelius  (1865 –1957) is widely regarded as Finland’s greatest composer, and his music is often credited with having helped his country to develop a national identity during its struggle for independence from Russia. He was, himself, a violinist and this concerto, first performed in 1905, is considered by many to be the greatest violin concerto in the repertoire. In its scope it is more like a symphony than a typical concerto.</w:t>
      </w:r>
    </w:p>
    <w:p w14:paraId="5274676D" w14:textId="77777777" w:rsidR="00680C01" w:rsidRDefault="00680C01" w:rsidP="00680C01">
      <w:r>
        <w:t>The first movement, as long in duration as the other two put together, takes in a wide variety of moods, from the cool opening to the stormy end and includes an extended cadenza for the soloist instead of a development in the first movement. It begins with brooding muted strings, above which the soloist plays a haunting melody echoed by a lone clarinet. This theme gives way to virtuoso passages for the violinist above an increasingly stormy orchestral accompaniment which leads to a mini-cadenza, Then the orchestra joins in, eventually subsiding from furious march music to peaceful darkness. out of which the main cadenza erupts, an occasion for staggering virtuosity. An extended, orchestral passage leads back to the expressive second theme, later joined by the violin. Eventually an intense cascade of octaves from the violin leads to a dramatic conclusion to the first movement.</w:t>
      </w:r>
    </w:p>
    <w:p w14:paraId="56B0A1EE" w14:textId="77777777" w:rsidR="00680C01" w:rsidRDefault="00680C01" w:rsidP="00680C01">
      <w:r>
        <w:t xml:space="preserve">The second  movement starts with a brief introduction from the woodwind, the soloist entering with a long melody whose character has been compared to that of many of Sibelius’ songs for voice and piano. This melody gives way to a brooding central section, which builds to the return of the main theme in the orchestra as the soloist overlays it with virtuoso ornamentation. The movement fades away as the soloist climbs to a serene high note. </w:t>
      </w:r>
    </w:p>
    <w:p w14:paraId="75802808" w14:textId="5140FF6D" w:rsidR="00A5163B" w:rsidRDefault="00680C01" w:rsidP="00680C01">
      <w:r>
        <w:t>Of the last movement, Sibelius remarked, “It must be played with absolute mastery ”. Those seeking a thrilling finale full of violin pyrotechnics will not be disappointed; the movement ranks among the most challenging and exciting written for the violin. It appears that all writers of programme notes must quote Donald Tovey who described the final movement as a "polonaise for polar bears" which is, presumably, not what the composer had in mind. The movement opens with excited lower strings playing difficult semiquaver figures. The violin boldly enters with the first theme on the lowest (G) string followed by a brilliant display of violin gymnastics that leads into the first full orchestral contribution which includes the second theme, taken up enthusiastically by the violin. Clarinet and low brass introduce the final section which include more violin heroic feats which become more and more astonishing as the music builds to the concerto’s vibrant, life-affirming conclusion.</w:t>
      </w:r>
    </w:p>
    <w:sectPr w:rsidR="00A51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01"/>
    <w:rsid w:val="001668BE"/>
    <w:rsid w:val="002F11E5"/>
    <w:rsid w:val="00680C01"/>
    <w:rsid w:val="00790057"/>
    <w:rsid w:val="00C50F07"/>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F09D0"/>
  <w15:chartTrackingRefBased/>
  <w15:docId w15:val="{C8790EE5-F6B4-4649-98D8-1071C2AA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2</cp:revision>
  <dcterms:created xsi:type="dcterms:W3CDTF">2023-10-30T15:00:00Z</dcterms:created>
  <dcterms:modified xsi:type="dcterms:W3CDTF">2023-10-30T15:04:00Z</dcterms:modified>
</cp:coreProperties>
</file>